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EE" w:rsidRDefault="00B358EE" w:rsidP="00B358EE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72"/>
          <w:szCs w:val="72"/>
        </w:rPr>
      </w:pPr>
      <w:r w:rsidRPr="00B358E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72"/>
          <w:szCs w:val="72"/>
        </w:rPr>
        <w:t>Less skewed</w:t>
      </w:r>
    </w:p>
    <w:p w:rsidR="005603E5" w:rsidRPr="00B358EE" w:rsidRDefault="005603E5" w:rsidP="005603E5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72"/>
          <w:szCs w:val="72"/>
        </w:rPr>
      </w:pPr>
    </w:p>
    <w:p w:rsidR="00B358EE" w:rsidRPr="00B358EE" w:rsidRDefault="00B358EE" w:rsidP="00B358E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3667125"/>
            <wp:effectExtent l="19050" t="0" r="9525" b="0"/>
            <wp:docPr id="1" name="Picture 1" descr="http://cdn.static-economist.com/sites/default/files/imagecache/full-width/20130928_FNC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tatic-economist.com/sites/default/files/imagecache/full-width/20130928_FNC4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E5" w:rsidRDefault="005603E5" w:rsidP="005603E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EE" w:rsidRPr="00B358EE" w:rsidRDefault="00B358EE" w:rsidP="005603E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In the run-up to the financial crisis the world economy was marked by huge current-account imbalances. China’s surplus alone </w:t>
      </w:r>
      <w:r w:rsidR="005603E5" w:rsidRPr="005603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accounted </w:t>
      </w:r>
      <w:proofErr w:type="gramStart"/>
      <w:r w:rsidR="005603E5" w:rsidRPr="005603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for </w:t>
      </w:r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0.7</w:t>
      </w:r>
      <w:proofErr w:type="gramEnd"/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%</w:t>
      </w: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 of global GDP in 2008; America </w:t>
      </w:r>
      <w:r w:rsidR="005603E5" w:rsidRPr="005603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experienced</w:t>
      </w:r>
      <w:r w:rsidR="00560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a deficit of </w:t>
      </w:r>
      <w:r w:rsidR="005603E5" w:rsidRPr="005603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well </w:t>
      </w:r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over 1%</w:t>
      </w: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 of world GDP that year. Since then the world has rebalanced. The current-account balances of the world’s big surplus economies </w:t>
      </w:r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have </w:t>
      </w:r>
      <w:proofErr w:type="spellStart"/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totalled</w:t>
      </w:r>
      <w:proofErr w:type="spellEnd"/>
      <w:r w:rsidRPr="00B358E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less than 2% </w:t>
      </w: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of global GDP since 2009, thanks partly to the strength of the Chinese currency and lower oil prices. Weak growth has cut European demand for imports. An energy boom has </w:t>
      </w:r>
      <w:r w:rsidRPr="00B358E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helped reduce</w:t>
      </w:r>
      <w:r w:rsidRPr="00B358EE">
        <w:rPr>
          <w:rFonts w:ascii="Times New Roman" w:eastAsia="Times New Roman" w:hAnsi="Times New Roman" w:cs="Times New Roman"/>
          <w:sz w:val="24"/>
          <w:szCs w:val="24"/>
        </w:rPr>
        <w:t xml:space="preserve"> America’s trade deficit, as a percentage of global GDP, to a 16-year low.</w:t>
      </w:r>
    </w:p>
    <w:p w:rsidR="00B54508" w:rsidRDefault="00B54508" w:rsidP="00B358EE">
      <w:pPr>
        <w:bidi w:val="0"/>
        <w:rPr>
          <w:rFonts w:hint="cs"/>
        </w:rPr>
      </w:pPr>
    </w:p>
    <w:sectPr w:rsidR="00B54508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864"/>
    <w:multiLevelType w:val="multilevel"/>
    <w:tmpl w:val="5FA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58EE"/>
    <w:rsid w:val="005603E5"/>
    <w:rsid w:val="00B358EE"/>
    <w:rsid w:val="00B54508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08"/>
    <w:pPr>
      <w:bidi/>
    </w:pPr>
  </w:style>
  <w:style w:type="paragraph" w:styleId="Heading1">
    <w:name w:val="heading 1"/>
    <w:basedOn w:val="Normal"/>
    <w:link w:val="Heading1Char"/>
    <w:uiPriority w:val="9"/>
    <w:qFormat/>
    <w:rsid w:val="00B358E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358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8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2013-09-26T18:56:00Z</dcterms:created>
  <dcterms:modified xsi:type="dcterms:W3CDTF">2013-09-26T19:43:00Z</dcterms:modified>
</cp:coreProperties>
</file>