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6F" w:rsidRPr="00543C06" w:rsidRDefault="00543C06" w:rsidP="009B426F">
      <w:pPr>
        <w:bidi w:val="0"/>
        <w:spacing w:before="100" w:beforeAutospacing="1" w:after="100" w:afterAutospacing="1"/>
        <w:outlineLvl w:val="0"/>
        <w:rPr>
          <w:b/>
          <w:bCs/>
          <w:color w:val="548DD4" w:themeColor="text2" w:themeTint="99"/>
          <w:kern w:val="36"/>
          <w:sz w:val="48"/>
          <w:szCs w:val="48"/>
        </w:rPr>
      </w:pPr>
      <w:r w:rsidRPr="00543C06">
        <w:rPr>
          <w:b/>
          <w:bCs/>
          <w:color w:val="548DD4" w:themeColor="text2" w:themeTint="99"/>
          <w:kern w:val="36"/>
          <w:sz w:val="48"/>
          <w:szCs w:val="48"/>
        </w:rPr>
        <w:t xml:space="preserve">Dominant </w:t>
      </w:r>
      <w:r w:rsidR="009B426F" w:rsidRPr="00543C06">
        <w:rPr>
          <w:b/>
          <w:bCs/>
          <w:color w:val="548DD4" w:themeColor="text2" w:themeTint="99"/>
          <w:kern w:val="36"/>
          <w:sz w:val="48"/>
          <w:szCs w:val="48"/>
        </w:rPr>
        <w:t>Research Universities</w:t>
      </w:r>
    </w:p>
    <w:p w:rsidR="00543C06" w:rsidRDefault="00543C06" w:rsidP="00543C06">
      <w:pPr>
        <w:bidi w:val="0"/>
        <w:spacing w:before="100" w:beforeAutospacing="1" w:after="100" w:afterAutospacing="1"/>
        <w:jc w:val="center"/>
      </w:pPr>
      <w:r>
        <w:rPr>
          <w:noProof/>
          <w:lang w:bidi="fa-IR"/>
        </w:rPr>
        <w:drawing>
          <wp:inline distT="0" distB="0" distL="0" distR="0">
            <wp:extent cx="4031615" cy="5033010"/>
            <wp:effectExtent l="1905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503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C06" w:rsidRDefault="00543C06" w:rsidP="00543C06">
      <w:pPr>
        <w:bidi w:val="0"/>
        <w:spacing w:before="100" w:beforeAutospacing="1" w:after="100" w:afterAutospacing="1"/>
      </w:pPr>
    </w:p>
    <w:p w:rsidR="009B426F" w:rsidRDefault="009B426F" w:rsidP="00543C06">
      <w:pPr>
        <w:bidi w:val="0"/>
        <w:spacing w:before="100" w:beforeAutospacing="1" w:after="100" w:afterAutospacing="1"/>
      </w:pPr>
      <w:r>
        <w:t>T</w:t>
      </w:r>
      <w:r w:rsidR="00543C06">
        <w:t xml:space="preserve">he chart --- </w:t>
      </w:r>
      <w:r>
        <w:t xml:space="preserve">based on </w:t>
      </w:r>
      <w:r w:rsidRPr="00543C06">
        <w:rPr>
          <w:color w:val="0D0D0D" w:themeColor="text1" w:themeTint="F2"/>
        </w:rPr>
        <w:t>new data</w:t>
      </w:r>
      <w:r w:rsidRPr="00543C06">
        <w:rPr>
          <w:color w:val="0000FF"/>
        </w:rPr>
        <w:t xml:space="preserve"> </w:t>
      </w:r>
      <w:r w:rsidRPr="00543C06">
        <w:t>from</w:t>
      </w:r>
      <w:r>
        <w:t xml:space="preserve"> the Organization for Econom</w:t>
      </w:r>
      <w:r w:rsidR="00543C06">
        <w:t xml:space="preserve">ic Cooperation and Development --- </w:t>
      </w:r>
      <w:r>
        <w:t xml:space="preserve">shows the distribution of the top 50 universities for a range of disciplines. </w:t>
      </w:r>
    </w:p>
    <w:p w:rsidR="009B426F" w:rsidRDefault="009B426F" w:rsidP="00543C06">
      <w:pPr>
        <w:bidi w:val="0"/>
        <w:spacing w:before="100" w:beforeAutospacing="1" w:after="100" w:afterAutospacing="1"/>
      </w:pPr>
      <w:r>
        <w:t xml:space="preserve">The darker blue bars at the bottom of the chart refer to American universities. And as </w:t>
      </w:r>
      <w:r w:rsidR="00543C06" w:rsidRPr="00543C06">
        <w:rPr>
          <w:b/>
          <w:bCs/>
          <w:color w:val="E36C0A" w:themeColor="accent6" w:themeShade="BF"/>
        </w:rPr>
        <w:t>one</w:t>
      </w:r>
      <w:r w:rsidR="00543C06">
        <w:t xml:space="preserve"> </w:t>
      </w:r>
      <w:r>
        <w:t>can see, at least at the post-secondary level, we still have some top-notch schools.</w:t>
      </w:r>
      <w:r w:rsidR="00543C06">
        <w:t xml:space="preserve"> </w:t>
      </w:r>
      <w:r w:rsidRPr="00543C06">
        <w:rPr>
          <w:color w:val="548DD4" w:themeColor="text2" w:themeTint="99"/>
        </w:rPr>
        <w:t xml:space="preserve">In </w:t>
      </w:r>
      <w:r w:rsidR="00543C06" w:rsidRPr="00543C06">
        <w:rPr>
          <w:color w:val="548DD4" w:themeColor="text2" w:themeTint="99"/>
        </w:rPr>
        <w:t>essence,</w:t>
      </w:r>
      <w:r>
        <w:t xml:space="preserve"> for every discipline shown except for the social sciences, a majority of major research institutions are in the United States. Even in the social sciences a plurality of the top departments are based in the United States.</w:t>
      </w:r>
      <w:r w:rsidR="00543C06">
        <w:t xml:space="preserve"> </w:t>
      </w:r>
      <w:r>
        <w:t xml:space="preserve">Across all disciplines shown, 80 percent of the top research departments are in the United States. </w:t>
      </w:r>
      <w:r w:rsidRPr="00543C06">
        <w:rPr>
          <w:color w:val="548DD4" w:themeColor="text2" w:themeTint="99"/>
        </w:rPr>
        <w:t>The next-highest</w:t>
      </w:r>
      <w:r>
        <w:t xml:space="preserve"> share </w:t>
      </w:r>
      <w:r w:rsidR="00543C06">
        <w:t xml:space="preserve">belongs to </w:t>
      </w:r>
      <w:r>
        <w:t xml:space="preserve"> Britain (light blue bars), </w:t>
      </w:r>
      <w:r w:rsidRPr="00543C06">
        <w:rPr>
          <w:color w:val="548DD4" w:themeColor="text2" w:themeTint="99"/>
        </w:rPr>
        <w:t>which is host to 10</w:t>
      </w:r>
      <w:r>
        <w:t xml:space="preserve"> percent of the world’s top research departments.</w:t>
      </w:r>
    </w:p>
    <w:p w:rsidR="009B426F" w:rsidRDefault="009B426F" w:rsidP="009B426F">
      <w:pPr>
        <w:bidi w:val="0"/>
        <w:rPr>
          <w:rFonts w:hint="cs"/>
          <w:lang w:bidi="fa-IR"/>
        </w:rPr>
      </w:pPr>
    </w:p>
    <w:sectPr w:rsidR="009B426F" w:rsidSect="0002142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9B426F"/>
    <w:rsid w:val="00021426"/>
    <w:rsid w:val="00543C06"/>
    <w:rsid w:val="009B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qFormat/>
    <w:rsid w:val="009B426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B426F"/>
    <w:rPr>
      <w:color w:val="0000FF"/>
      <w:u w:val="single"/>
    </w:rPr>
  </w:style>
  <w:style w:type="character" w:customStyle="1" w:styleId="date">
    <w:name w:val="date"/>
    <w:basedOn w:val="DefaultParagraphFont"/>
    <w:rsid w:val="009B426F"/>
  </w:style>
  <w:style w:type="character" w:styleId="Emphasis">
    <w:name w:val="Emphasis"/>
    <w:basedOn w:val="DefaultParagraphFont"/>
    <w:qFormat/>
    <w:rsid w:val="009B426F"/>
    <w:rPr>
      <w:i/>
      <w:iCs/>
    </w:rPr>
  </w:style>
  <w:style w:type="paragraph" w:styleId="HTMLAddress">
    <w:name w:val="HTML Address"/>
    <w:basedOn w:val="Normal"/>
    <w:rsid w:val="009B426F"/>
    <w:pPr>
      <w:bidi w:val="0"/>
    </w:pPr>
    <w:rPr>
      <w:i/>
      <w:iCs/>
    </w:rPr>
  </w:style>
  <w:style w:type="paragraph" w:styleId="NormalWeb">
    <w:name w:val="Normal (Web)"/>
    <w:basedOn w:val="Normal"/>
    <w:rsid w:val="009B426F"/>
    <w:pPr>
      <w:bidi w:val="0"/>
      <w:spacing w:before="100" w:beforeAutospacing="1" w:after="100" w:afterAutospacing="1"/>
    </w:pPr>
  </w:style>
  <w:style w:type="character" w:customStyle="1" w:styleId="caption">
    <w:name w:val="caption"/>
    <w:basedOn w:val="DefaultParagraphFont"/>
    <w:rsid w:val="009B4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Iran</Company>
  <LinksUpToDate>false</LinksUpToDate>
  <CharactersWithSpaces>852</CharactersWithSpaces>
  <SharedDoc>false</SharedDoc>
  <HLinks>
    <vt:vector size="18" baseType="variant">
      <vt:variant>
        <vt:i4>7274603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http://dx.doi.org/10.1787/888932485728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http://www.oecdwash.org/innovationmapper/pdf/USInnovationSystem.pdf</vt:lpwstr>
      </vt:variant>
      <vt:variant>
        <vt:lpwstr/>
      </vt:variant>
      <vt:variant>
        <vt:i4>7995472</vt:i4>
      </vt:variant>
      <vt:variant>
        <vt:i4>0</vt:i4>
      </vt:variant>
      <vt:variant>
        <vt:i4>0</vt:i4>
      </vt:variant>
      <vt:variant>
        <vt:i4>5</vt:i4>
      </vt:variant>
      <vt:variant>
        <vt:lpwstr>http://www.pisa.oecd.org/pages/0,2987,en_32252351_32235731_1_1_1_1_1,00.html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83211054</dc:creator>
  <cp:keywords/>
  <dc:description/>
  <cp:lastModifiedBy>83211054</cp:lastModifiedBy>
  <cp:revision>2</cp:revision>
  <dcterms:created xsi:type="dcterms:W3CDTF">2014-01-21T07:15:00Z</dcterms:created>
  <dcterms:modified xsi:type="dcterms:W3CDTF">2014-01-21T07:15:00Z</dcterms:modified>
</cp:coreProperties>
</file>